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60" w:lineRule="auto"/>
        <w:ind w:left="0" w:firstLine="480"/>
        <w:rPr>
          <w:rFonts w:hint="eastAsia" w:ascii="仿宋" w:hAnsi="仿宋" w:eastAsia="仿宋" w:cs="仿宋"/>
          <w:sz w:val="28"/>
          <w:szCs w:val="28"/>
        </w:rPr>
      </w:pPr>
      <w:r>
        <w:rPr>
          <w:rFonts w:hint="eastAsia" w:ascii="仿宋" w:hAnsi="仿宋" w:eastAsia="仿宋" w:cs="仿宋"/>
          <w:b w:val="0"/>
          <w:sz w:val="28"/>
          <w:szCs w:val="28"/>
        </w:rPr>
        <w:t>（一）医药职业</w:t>
      </w:r>
      <w:r>
        <w:rPr>
          <w:rFonts w:hint="eastAsia" w:ascii="仿宋" w:hAnsi="仿宋" w:eastAsia="仿宋" w:cs="仿宋"/>
          <w:b w:val="0"/>
          <w:sz w:val="28"/>
          <w:szCs w:val="28"/>
        </w:rPr>
        <w:t>——赊销严峻</w:t>
      </w:r>
      <w:bookmarkStart w:id="0" w:name="_GoBack"/>
      <w:bookmarkEnd w:id="0"/>
      <w:r>
        <w:rPr>
          <w:rFonts w:hint="eastAsia" w:ascii="仿宋" w:hAnsi="仿宋" w:eastAsia="仿宋" w:cs="仿宋"/>
          <w:b w:val="0"/>
          <w:sz w:val="28"/>
          <w:szCs w:val="28"/>
        </w:rPr>
        <w:t>现金匮乏</w:t>
      </w:r>
      <w:r>
        <w:rPr>
          <w:rFonts w:hint="eastAsia" w:ascii="仿宋" w:hAnsi="仿宋" w:eastAsia="仿宋" w:cs="仿宋"/>
          <w:sz w:val="28"/>
          <w:szCs w:val="28"/>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我国医药职业具有规划小、水平低，重复建造的特色，并且产品90%以上拷贝国外产品。现在，该职业的结构性对立越来越杰出：研制投入低，新产品的开发速度缓慢；一起医药市场秩序紊乱，普遍存在出售回扣和赊销货款拖欠的问题。职业界公司办理滑坡，功率下降，再加上原材料、能源价格的上涨，中外合资企业及进口药的冲击，使该职业的赢利率大幅下滑。医药职业这些带有共性的问题在现金流量目标上体现得较为充沛。其现金流量表反映出以下特色。</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一是运营活动的现金捉襟见肘。计算标明，该职业现金净流出额高达4599万元，在咱们计算的24家职业中体现最差。放下一些非必须要素不考虑，这直接阐明晰医药职业上市公司当期出售现金收回和收购现金付出之间存在较大的差额。从运营活动的流程来看，4599万元的差额首要沉淀在数额巨大且不断在添加的存货和应收账款之中。特别关于医药企业来说，因为原材料和制品药都有必定的保质期，存货在积压过程中就有过期蜕变的危险，而上述企业很少计提存货丢失变现预备。咱们我们都以为，没有现金保证的赢利无疑给人以“言而无信”的感觉，也反映出医药职业现在运营情况不佳。</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二是医药职业均匀每股现金净流出高达0.16元。在运营活动中，单位本钱发生的净现金值为负，自身便阐明企业投入与产出之间的不平衡，并直接影响了企业付出股利和进行本钱开销的才能。每股现金含量为负，不光不能对每股收益构成保证，反而预示了每股收益下降的危险。事实上，医药职业上市公司的均匀收益从92年的0.36元下滑至95年的0.27元，到97年仅为0.23元，呈逐步下滑趋势。</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三是出资开销相对较少。医药职业出资活动的现金净流出仅为1633万元，远逊于各职业均匀值5235万，反映出医药职业上市公司出资开销相对低下。我国医药职业在扩大生产、开发研讨上投入少得不幸，均匀仅占出售的收益的3-4%。与国外医药职业在研制上的投入占出售的收益15-20%的比率比较，我国的医药职业在投入上的匮乏限制了医药职业的开展和立异，直接导致医药职业走“拷贝为主”的开展道路。别的，我国医药企业的质量认证远远落后于国外同业，现在仅有部分公司着力于GMP和GSP技术改造，医药职业在质量体系上的改造仍急需很多的资金。</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四是“现金活动负债比”低下，反映出其短期偿债才能弱。该职业活动负债均匀值为58191万元，现金活动负债比为-0.18倍。标明该职业上市公司的短期偿债才能弱。归还巨额活动负债的仅有途径是不断举新债还宿债，这又使得财务费用高居不下，影响了企业的赢利。一起，债款的压力又限制了该职业在研制及技术立异上的出资，这一恶性循环使企业的运营情况日薄西山。</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五是“每股现金含量”低。该职业九家上市公司中，仅哈医药一家企业运营活动发生的现金流量为正。而通化东宝、春风药业每股现金净流出别离达到了0.27和0.25元。</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firstLine="48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六是医药职业的“价现比”为负。医药职业中期均匀每股收益0.12元，市盈率39.33倍，部分公司的市盈率高达数百倍。因为其均匀“每股现金含量”为负，因而其均匀价现比亦为负值。</w:t>
      </w:r>
      <w:r>
        <w:rPr>
          <w:rFonts w:hint="eastAsia" w:ascii="仿宋" w:hAnsi="仿宋" w:eastAsia="仿宋" w:cs="仿宋"/>
          <w:kern w:val="0"/>
          <w:sz w:val="28"/>
          <w:szCs w:val="28"/>
          <w:lang w:val="en-US" w:eastAsia="zh-CN" w:bidi="ar"/>
        </w:rPr>
        <w:t xml:space="preserve"> </w:t>
      </w:r>
    </w:p>
    <w:p>
      <w:pPr>
        <w:keepNext w:val="0"/>
        <w:keepLines w:val="0"/>
        <w:widowControl/>
        <w:suppressLineNumbers w:val="0"/>
        <w:spacing w:before="0" w:beforeAutospacing="1" w:after="0" w:afterAutospacing="1" w:line="360" w:lineRule="auto"/>
        <w:ind w:left="0" w:right="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 </w:t>
      </w:r>
      <w:r>
        <w:rPr>
          <w:rFonts w:hint="eastAsia" w:ascii="仿宋" w:hAnsi="仿宋" w:eastAsia="仿宋" w:cs="仿宋"/>
          <w:kern w:val="0"/>
          <w:sz w:val="28"/>
          <w:szCs w:val="28"/>
          <w:lang w:val="en-US" w:eastAsia="zh-CN" w:bidi="ar"/>
        </w:rPr>
        <w:t xml:space="preserve"> </w:t>
      </w:r>
    </w:p>
    <w:p>
      <w:pPr>
        <w:spacing w:line="360" w:lineRule="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218E0"/>
    <w:rsid w:val="003E7091"/>
    <w:rsid w:val="005218E0"/>
    <w:rsid w:val="005C4C48"/>
    <w:rsid w:val="00B1181E"/>
    <w:rsid w:val="00C11A52"/>
    <w:rsid w:val="357C4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0"/>
    <w:qFormat/>
    <w:uiPriority w:val="0"/>
    <w:pPr>
      <w:keepNext/>
      <w:keepLines/>
      <w:spacing w:before="260" w:after="260" w:line="416" w:lineRule="auto"/>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标题 3 Char"/>
    <w:basedOn w:val="6"/>
    <w:semiHidden/>
    <w:uiPriority w:val="9"/>
    <w:rPr>
      <w:rFonts w:ascii="Times New Roman" w:hAnsi="Times New Roman" w:eastAsia="宋体" w:cs="Times New Roman"/>
      <w:b/>
      <w:bCs/>
      <w:sz w:val="32"/>
      <w:szCs w:val="32"/>
    </w:rPr>
  </w:style>
  <w:style w:type="character" w:customStyle="1" w:styleId="10">
    <w:name w:val="标题 3 字符"/>
    <w:basedOn w:val="6"/>
    <w:link w:val="2"/>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2</Pages>
  <Words>618</Words>
  <Characters>649</Characters>
  <Lines>20</Lines>
  <Paragraphs>8</Paragraphs>
  <TotalTime>0</TotalTime>
  <ScaleCrop>false</ScaleCrop>
  <LinksUpToDate>false</LinksUpToDate>
  <CharactersWithSpaces>1259</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2021-01-30T15:21:52Z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