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b/>
          <w:bCs/>
          <w:sz w:val="44"/>
          <w:szCs w:val="44"/>
        </w:rPr>
      </w:pPr>
      <w:r>
        <w:rPr>
          <w:rFonts w:hint="eastAsia"/>
          <w:b/>
          <w:bCs/>
          <w:sz w:val="44"/>
          <w:szCs w:val="44"/>
        </w:rPr>
        <w:t>项目可行性研究报告收费标准</w:t>
      </w:r>
      <w:bookmarkStart w:id="0" w:name="_GoBack"/>
      <w:bookmarkEnd w:id="0"/>
    </w:p>
    <w:p>
      <w:pPr>
        <w:pStyle w:val="6"/>
        <w:bidi w:val="0"/>
      </w:pPr>
      <w:r>
        <w:t>　　依据国家开展和变革委的规则《建造项目前期工作咨询收费暂行规则》，收费规范如下 ，实践的收费会依据市场行情调整</w:t>
      </w:r>
    </w:p>
    <w:p>
      <w:pPr>
        <w:pStyle w:val="6"/>
        <w:bidi w:val="0"/>
      </w:pPr>
      <w:r>
        <w:t>　　单位：万元</w:t>
      </w:r>
    </w:p>
    <w:tbl>
      <w:tblPr>
        <w:tblW w:w="5000" w:type="pct"/>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2024"/>
        <w:gridCol w:w="1379"/>
        <w:gridCol w:w="1229"/>
        <w:gridCol w:w="1246"/>
        <w:gridCol w:w="1335"/>
        <w:gridCol w:w="1123"/>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15" w:type="dxa"/>
            <w:left w:w="15" w:type="dxa"/>
            <w:bottom w:w="15" w:type="dxa"/>
            <w:right w:w="15" w:type="dxa"/>
          </w:tblCellMar>
        </w:tblPrEx>
        <w:tc>
          <w:tcPr>
            <w:tcW w:w="2055"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default"/>
                <w:lang w:val="en-US" w:eastAsia="zh-CN"/>
              </w:rPr>
              <w:t> </w:t>
            </w:r>
            <w:r>
              <w:rPr>
                <w:lang w:val="en-US" w:eastAsia="zh-CN"/>
              </w:rPr>
              <w:t xml:space="preserve"> </w:t>
            </w:r>
          </w:p>
        </w:tc>
        <w:tc>
          <w:tcPr>
            <w:tcW w:w="1395"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3000万元—1亿元 </w:t>
            </w:r>
          </w:p>
        </w:tc>
        <w:tc>
          <w:tcPr>
            <w:tcW w:w="1245"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1亿元—5亿元 </w:t>
            </w:r>
          </w:p>
        </w:tc>
        <w:tc>
          <w:tcPr>
            <w:tcW w:w="1260"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5亿元—10亿元 </w:t>
            </w:r>
          </w:p>
        </w:tc>
        <w:tc>
          <w:tcPr>
            <w:tcW w:w="1350"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10亿元—50亿元 </w:t>
            </w:r>
          </w:p>
        </w:tc>
        <w:tc>
          <w:tcPr>
            <w:tcW w:w="1140"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50亿元以上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15" w:type="dxa"/>
            <w:left w:w="15" w:type="dxa"/>
            <w:bottom w:w="15" w:type="dxa"/>
            <w:right w:w="15" w:type="dxa"/>
          </w:tblCellMar>
        </w:tblPrEx>
        <w:tc>
          <w:tcPr>
            <w:tcW w:w="2055"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一、编制项目建造书 </w:t>
            </w:r>
          </w:p>
        </w:tc>
        <w:tc>
          <w:tcPr>
            <w:tcW w:w="1395"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245"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26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35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14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15" w:type="dxa"/>
            <w:left w:w="15" w:type="dxa"/>
            <w:bottom w:w="15" w:type="dxa"/>
            <w:right w:w="15" w:type="dxa"/>
          </w:tblCellMar>
        </w:tblPrEx>
        <w:tc>
          <w:tcPr>
            <w:tcW w:w="2055"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二、编制可行性研究报告 </w:t>
            </w:r>
          </w:p>
        </w:tc>
        <w:tc>
          <w:tcPr>
            <w:tcW w:w="1395"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245"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26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35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14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15" w:type="dxa"/>
            <w:left w:w="15" w:type="dxa"/>
            <w:bottom w:w="15" w:type="dxa"/>
            <w:right w:w="15" w:type="dxa"/>
          </w:tblCellMar>
        </w:tblPrEx>
        <w:tc>
          <w:tcPr>
            <w:tcW w:w="2055"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三、评价项目建议书 </w:t>
            </w:r>
          </w:p>
        </w:tc>
        <w:tc>
          <w:tcPr>
            <w:tcW w:w="1395"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245"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26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35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14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15" w:type="dxa"/>
            <w:left w:w="15" w:type="dxa"/>
            <w:bottom w:w="15" w:type="dxa"/>
            <w:right w:w="15" w:type="dxa"/>
          </w:tblCellMar>
        </w:tblPrEx>
        <w:tc>
          <w:tcPr>
            <w:tcW w:w="2055" w:type="dxa"/>
            <w:tcBorders>
              <w:top w:val="single" w:color="auto" w:sz="8" w:space="0"/>
              <w:left w:val="single" w:color="auto" w:sz="8" w:space="0"/>
              <w:bottom w:val="single" w:color="auto" w:sz="8" w:space="0"/>
              <w:right w:val="single" w:color="auto" w:sz="8" w:space="0"/>
            </w:tcBorders>
            <w:shd w:val="clear"/>
            <w:vAlign w:val="center"/>
          </w:tcPr>
          <w:p>
            <w:pPr>
              <w:pStyle w:val="6"/>
              <w:bidi w:val="0"/>
            </w:pPr>
            <w:r>
              <w:rPr>
                <w:rFonts w:hint="eastAsia"/>
                <w:lang w:val="en-US" w:eastAsia="zh-CN"/>
              </w:rPr>
              <w:t xml:space="preserve">四、评价可行性研究报告 </w:t>
            </w:r>
          </w:p>
        </w:tc>
        <w:tc>
          <w:tcPr>
            <w:tcW w:w="1395"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245"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26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35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c>
          <w:tcPr>
            <w:tcW w:w="1140" w:type="dxa"/>
            <w:tcBorders>
              <w:top w:val="single" w:color="auto" w:sz="8" w:space="0"/>
              <w:left w:val="single" w:color="auto" w:sz="8" w:space="0"/>
              <w:bottom w:val="single" w:color="auto" w:sz="8" w:space="0"/>
              <w:right w:val="single" w:color="auto" w:sz="8" w:space="0"/>
            </w:tcBorders>
            <w:shd w:val="clear"/>
            <w:vAlign w:val="center"/>
          </w:tcPr>
          <w:p>
            <w:pPr>
              <w:pStyle w:val="6"/>
              <w:bidi w:val="0"/>
            </w:pPr>
          </w:p>
        </w:tc>
      </w:tr>
    </w:tbl>
    <w:p>
      <w:pPr>
        <w:pStyle w:val="6"/>
        <w:bidi w:val="0"/>
        <w:ind w:firstLine="560"/>
      </w:pPr>
      <w:r>
        <w:t>注：</w:t>
      </w:r>
    </w:p>
    <w:p>
      <w:pPr>
        <w:pStyle w:val="6"/>
        <w:numPr>
          <w:ilvl w:val="0"/>
          <w:numId w:val="1"/>
        </w:numPr>
        <w:bidi w:val="0"/>
        <w:ind w:firstLine="560"/>
      </w:pPr>
      <w:r>
        <w:t>预算投资额是指项目建议书或可行性研究报告的预算总投资额</w:t>
      </w:r>
    </w:p>
    <w:p>
      <w:pPr>
        <w:pStyle w:val="6"/>
        <w:numPr>
          <w:ilvl w:val="0"/>
          <w:numId w:val="1"/>
        </w:numPr>
        <w:bidi w:val="0"/>
        <w:ind w:firstLine="560"/>
      </w:pPr>
      <w:r>
        <w:t>建造项目的详细收费规范，依据预算总投资额在相对应的区间内插入法核算。</w:t>
      </w:r>
    </w:p>
    <w:p>
      <w:pPr>
        <w:pStyle w:val="6"/>
        <w:numPr>
          <w:ilvl w:val="0"/>
          <w:numId w:val="1"/>
        </w:numPr>
        <w:bidi w:val="0"/>
        <w:ind w:firstLine="560"/>
      </w:pPr>
      <w:r>
        <w:t>依据职业特色和各职业内部不同类别工程的杂乱程度，核算咨询费用时可别离乘以职业调整系数和工程杂乱程度调整系数　 按建造项目预算投资额分档收费的调整系数</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203"/>
        <w:gridCol w:w="4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                行     业 </w:t>
            </w:r>
            <w:r>
              <w:rPr>
                <w:lang w:val="en-US" w:eastAsia="zh-CN"/>
              </w:rPr>
              <w:t xml:space="preserve"> </w:t>
            </w:r>
          </w:p>
        </w:tc>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调整系数(以表所列收费规范为1)</w:t>
            </w:r>
            <w:r>
              <w:rPr>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一、职业调整系数 </w:t>
            </w:r>
            <w:r>
              <w:rPr>
                <w:lang w:val="en-US" w:eastAsia="zh-CN"/>
              </w:rPr>
              <w:t xml:space="preserve"> </w:t>
            </w:r>
          </w:p>
        </w:tc>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default"/>
                <w:lang w:val="en-US" w:eastAsia="zh-CN"/>
              </w:rPr>
              <w:t> </w:t>
            </w:r>
            <w:r>
              <w:rPr>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42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bl>
    <w:p>
      <w:pPr>
        <w:pStyle w:val="6"/>
        <w:bidi w:val="0"/>
      </w:pPr>
      <w:r>
        <w:t>　　注 ：工程杂乱程度详细调整系数由工程咨询机构与托付单位依据品种工程状况洽谈确认</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A40A11"/>
    <w:multiLevelType w:val="singleLevel"/>
    <w:tmpl w:val="A0A40A1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525962"/>
    <w:rsid w:val="31B66E78"/>
    <w:rsid w:val="58525962"/>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2021-06-23T16:13:00Z</dcterms:created>
  <dc:creator>Gnepre</dc:creator>
  <cp:lastModifiedBy>Gnepre</cp:lastModifiedBy>
  <dcterms:modified xsi:type="dcterms:W3CDTF">2021-06-23T16:14:31Z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