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rPr>
          <w:rFonts w:hint="default" w:eastAsia="仿宋"/>
          <w:lang w:val="en-US" w:eastAsia="zh-CN"/>
        </w:rPr>
      </w:pPr>
      <w:r>
        <w:rPr>
          <w:b/>
          <w:bCs/>
          <w:sz w:val="44"/>
          <w:szCs w:val="44"/>
        </w:rPr>
        <w:t>房地产项目可行性</w:t>
      </w:r>
      <w:r>
        <w:rPr>
          <w:rFonts w:hint="eastAsia"/>
          <w:b/>
          <w:bCs/>
          <w:sz w:val="44"/>
          <w:szCs w:val="44"/>
          <w:lang w:val="en-US" w:eastAsia="zh-CN"/>
        </w:rPr>
        <w:t>分析报告</w:t>
      </w:r>
    </w:p>
    <w:p>
      <w:pPr>
        <w:pStyle w:val="6"/>
        <w:bidi w:val="0"/>
      </w:pPr>
      <w:r>
        <w:t>　　这一部分是可行性研讨陈述的首</w:t>
      </w:r>
      <w:bookmarkStart w:id="0" w:name="_GoBack"/>
      <w:bookmarkEnd w:id="0"/>
      <w:r>
        <w:t>要部分，总述要归纳叙述研讨陈述中各部分的首要问题以及研讨定论，并对项目是否可行提出终究主张，为可行性研讨的批阅提供条件。方针危险是指由于方针的潜在改变有可能给房地产商场出资者带来各种不同方法的经济损失。政府的方针对房地产业的影响是全局性的，房地产方针的改变趋向直接关系到房地产出资者的成功与否。房地产业由于与社会经济发展严密相关，因此，在很大程度上遭到政府的操控，政府对租金、价格的约束，对外资的操控，对土地运用的操控，对环境保护的要求，尤其是对出资规模、出资方向以及金融的操控，以及新税务方针的拟定，都对房地产出资者构成危险.</w:t>
      </w:r>
    </w:p>
    <w:p>
      <w:pPr>
        <w:pStyle w:val="6"/>
        <w:bidi w:val="0"/>
      </w:pPr>
      <w:r>
        <w:t>　　项目盈余才能剖析</w:t>
      </w:r>
    </w:p>
    <w:p>
      <w:pPr>
        <w:pStyle w:val="6"/>
        <w:bidi w:val="0"/>
      </w:pPr>
      <w:r>
        <w:t>　　</w:t>
      </w:r>
      <w:r>
        <w:rPr>
          <w:rFonts w:hint="eastAsia"/>
          <w:lang w:eastAsia="zh-CN"/>
        </w:rPr>
        <w:t>X</w:t>
      </w:r>
      <w:r>
        <w:t>静态财政盈余目标</w:t>
      </w:r>
    </w:p>
    <w:p>
      <w:pPr>
        <w:pStyle w:val="6"/>
        <w:bidi w:val="0"/>
      </w:pPr>
      <w:r>
        <w:t>　　出资赢利率</w:t>
      </w:r>
    </w:p>
    <w:p>
      <w:pPr>
        <w:pStyle w:val="6"/>
        <w:bidi w:val="0"/>
      </w:pPr>
      <w:r>
        <w:t>　　是指项目到达规划才能后的一个正常年份的年赢利总额与项目总出资的比率，它是调查项目单位出资盈余才能的静态目标。对出产期内各年赢利额改变大的项目，应以出产期各年的均匀年赢利来核算，核算公式为：</w:t>
      </w:r>
    </w:p>
    <w:p>
      <w:pPr>
        <w:pStyle w:val="6"/>
        <w:bidi w:val="0"/>
      </w:pPr>
      <w:r>
        <w:t>　　出资赢利率=年赢利总额或年均匀赢利总额÷项目总出资×</w:t>
      </w:r>
      <w:r>
        <w:rPr>
          <w:rFonts w:hint="eastAsia"/>
          <w:lang w:eastAsia="zh-CN"/>
        </w:rPr>
        <w:t>XXX</w:t>
      </w:r>
      <w:r>
        <w:t>%</w:t>
      </w:r>
    </w:p>
    <w:p>
      <w:pPr>
        <w:pStyle w:val="6"/>
        <w:bidi w:val="0"/>
      </w:pPr>
      <w:r>
        <w:t>　　在项目点评中，将项目出资赢利率与职业均匀赢利率或其他基准赢利率比较，以判别项意图出资赢利率是否到达本职业的均匀水平或所期望到达的水平。</w:t>
      </w:r>
    </w:p>
    <w:p>
      <w:pPr>
        <w:pStyle w:val="6"/>
        <w:bidi w:val="0"/>
      </w:pPr>
      <w:r>
        <w:t>　　出资利税率</w:t>
      </w:r>
    </w:p>
    <w:p>
      <w:pPr>
        <w:pStyle w:val="6"/>
        <w:bidi w:val="0"/>
      </w:pPr>
      <w:r>
        <w:t>　　是项目到达规划出产才能后的一个正常出产年份的利税总额或项目出产期内均匀利税总额与项目总出资的比率。核算公式为：</w:t>
      </w:r>
    </w:p>
    <w:p>
      <w:pPr>
        <w:pStyle w:val="6"/>
        <w:bidi w:val="0"/>
      </w:pPr>
      <w:r>
        <w:t>　　出资利税率=年利税总额或年均匀利税总额÷项目总出资×</w:t>
      </w:r>
      <w:r>
        <w:rPr>
          <w:rFonts w:hint="eastAsia"/>
          <w:lang w:eastAsia="zh-CN"/>
        </w:rPr>
        <w:t>XXX</w:t>
      </w:r>
      <w:r>
        <w:t>%</w:t>
      </w:r>
    </w:p>
    <w:p>
      <w:pPr>
        <w:pStyle w:val="6"/>
        <w:bidi w:val="0"/>
      </w:pPr>
      <w:r>
        <w:t>　　年利税总额=年出售收入(不含销项税)一年总本钱费用(不含进项税)</w:t>
      </w:r>
    </w:p>
    <w:p>
      <w:pPr>
        <w:pStyle w:val="6"/>
        <w:bidi w:val="0"/>
      </w:pPr>
      <w:r>
        <w:t>　　或：年利税总额=年赢利总额+年出售税金及附加(不含增值税)</w:t>
      </w:r>
    </w:p>
    <w:p>
      <w:pPr>
        <w:pStyle w:val="6"/>
        <w:bidi w:val="0"/>
      </w:pPr>
      <w:r>
        <w:t>　　在项目点评中，可将出资利税率与职业均匀利税率比照，以判别项目单位出资对国家积累的奉献水平是否到达本职业的均匀水平。</w:t>
      </w:r>
    </w:p>
    <w:p>
      <w:pPr>
        <w:pStyle w:val="6"/>
        <w:bidi w:val="0"/>
      </w:pPr>
      <w:r>
        <w:t>　　</w:t>
      </w:r>
      <w:r>
        <w:rPr>
          <w:rFonts w:hint="eastAsia"/>
          <w:lang w:eastAsia="zh-CN"/>
        </w:rPr>
        <w:t>X</w:t>
      </w:r>
      <w:r>
        <w:t>.</w:t>
      </w:r>
      <w:r>
        <w:rPr>
          <w:rFonts w:hint="eastAsia"/>
          <w:lang w:eastAsia="zh-CN"/>
        </w:rPr>
        <w:t>X</w:t>
      </w:r>
      <w:r>
        <w:t>本钱金赢利率</w:t>
      </w:r>
    </w:p>
    <w:p>
      <w:pPr>
        <w:pStyle w:val="6"/>
        <w:bidi w:val="0"/>
      </w:pPr>
      <w:r>
        <w:t>　　是在项目达产后的正常出产年份的赢利总额或项目出产期内均匀赢利总额与本钱金的比率，它反映项目本钱金的盈余才能。其核算公式为：</w:t>
      </w:r>
    </w:p>
    <w:p>
      <w:pPr>
        <w:pStyle w:val="6"/>
        <w:bidi w:val="0"/>
      </w:pPr>
      <w:r>
        <w:t>　　本钱金赢利率=年赢利总额或年均匀赢利总额÷本钱金×</w:t>
      </w:r>
      <w:r>
        <w:rPr>
          <w:rFonts w:hint="eastAsia"/>
          <w:lang w:eastAsia="zh-CN"/>
        </w:rPr>
        <w:t>XXX</w:t>
      </w:r>
      <w:r>
        <w:t>%</w:t>
      </w:r>
      <w:r>
        <w:rPr>
          <w:rFonts w:hint="eastAsia"/>
          <w:lang w:eastAsia="zh-CN"/>
        </w:rPr>
        <w:t>X</w:t>
      </w:r>
      <w:r>
        <w:t>.</w:t>
      </w:r>
      <w:r>
        <w:rPr>
          <w:rFonts w:hint="eastAsia"/>
          <w:lang w:eastAsia="zh-CN"/>
        </w:rPr>
        <w:t>X</w:t>
      </w:r>
      <w:r>
        <w:t>动态财政盈余目标</w:t>
      </w:r>
    </w:p>
    <w:p>
      <w:pPr>
        <w:pStyle w:val="6"/>
        <w:bidi w:val="0"/>
      </w:pPr>
      <w:r>
        <w:t>　　</w:t>
      </w:r>
      <w:r>
        <w:rPr>
          <w:rFonts w:hint="eastAsia"/>
          <w:lang w:eastAsia="zh-CN"/>
        </w:rPr>
        <w:t>X</w:t>
      </w:r>
      <w:r>
        <w:t>、项目财政净现值</w:t>
      </w:r>
    </w:p>
    <w:p>
      <w:pPr>
        <w:pStyle w:val="6"/>
        <w:bidi w:val="0"/>
      </w:pPr>
      <w:r>
        <w:t>　　是调查项目盈余才能的肯定值目标，反映项目在满足按设定折现率要求的盈余之外所能取得的超量盈余的现值。项目财政净现值大于零标明项目可行，到达或超过了设定折现率要求的盈余水平。一个项意图财政净现值是指项目按基准收益率或设定的折现率，在核算期内将各年的净现金流量折现到建造起点的现值之和。其公式为：</w:t>
      </w:r>
    </w:p>
    <w:p>
      <w:pPr>
        <w:pStyle w:val="6"/>
        <w:bidi w:val="0"/>
      </w:pPr>
      <w:r>
        <w:t>　　净现值=∑(各期现金流入量*贴现系数)-∑(各期现金流出量*贴现系数)</w:t>
      </w:r>
    </w:p>
    <w:p>
      <w:pPr>
        <w:pStyle w:val="6"/>
        <w:bidi w:val="0"/>
      </w:pPr>
      <w:r>
        <w:t>　　</w:t>
      </w:r>
      <w:r>
        <w:rPr>
          <w:rFonts w:hint="eastAsia"/>
          <w:lang w:eastAsia="zh-CN"/>
        </w:rPr>
        <w:t>X</w:t>
      </w:r>
      <w:r>
        <w:t>、财政内部收益率</w:t>
      </w:r>
    </w:p>
    <w:p>
      <w:pPr>
        <w:pStyle w:val="6"/>
        <w:bidi w:val="0"/>
      </w:pPr>
      <w:r>
        <w:t>　　是指项目在整个核算期内各年财政净现金流量的现值之和等于零时的折现率，也便是使项意图财政净现值等于零时的折现率。可是财政内部收益率不是初始出资在整个核算期内的盈余率，因此它不只受项目初始出资规模的影响，并且受项目核算期内各年净收益巨细的影响。</w:t>
      </w:r>
    </w:p>
    <w:p>
      <w:pPr>
        <w:pStyle w:val="6"/>
        <w:bidi w:val="0"/>
      </w:pPr>
      <w:r>
        <w:t>　　对惯例出资项目,财政内部收益率其实质便是使出资计划在核算期内各年净现金流量的现值累计等于零时的折现率。</w:t>
      </w:r>
    </w:p>
    <w:p>
      <w:pPr>
        <w:pStyle w:val="6"/>
        <w:bidi w:val="0"/>
      </w:pPr>
      <w:r>
        <w:t>　　财政内部收益率 (FIRR)目标考虑了资金的时刻价值以及项目在整个核算期内的经济状况，不只能反映出资进程的收益程度，并且FIRR 的巨细不受外部参数影响，彻底取决于项目出资进程净现金流量系列的状况。这种项目内部决定性，使它在运用中具有一个显着的长处，即避免了像财政净现值之类的目标那样需事前确认基准收益率这个难题，而只需求知道基准收益率的大致规模即可。</w:t>
      </w:r>
    </w:p>
    <w:p>
      <w:pPr>
        <w:pStyle w:val="6"/>
        <w:bidi w:val="0"/>
      </w:pPr>
      <w:r>
        <w:t>　　缺少的是财政内部收益率核算比较费事，关于具有非惯例现金流量的项目来讲，其财政内部收益率在某些状况下乃至不存在或存在多个内部收益率。</w:t>
      </w:r>
    </w:p>
    <w:p>
      <w:pPr>
        <w:pStyle w:val="6"/>
        <w:bidi w:val="0"/>
      </w:pPr>
      <w:r>
        <w:t>　　</w:t>
      </w:r>
      <w:r>
        <w:rPr>
          <w:rFonts w:hint="eastAsia"/>
          <w:lang w:eastAsia="zh-CN"/>
        </w:rPr>
        <w:t>X</w:t>
      </w:r>
      <w:r>
        <w:t>项目清偿才能点评</w:t>
      </w:r>
    </w:p>
    <w:p>
      <w:pPr>
        <w:pStyle w:val="6"/>
        <w:bidi w:val="0"/>
      </w:pPr>
      <w:r>
        <w:t>　　</w:t>
      </w:r>
      <w:r>
        <w:rPr>
          <w:rFonts w:hint="eastAsia"/>
          <w:lang w:eastAsia="zh-CN"/>
        </w:rPr>
        <w:t>X</w:t>
      </w:r>
      <w:r>
        <w:t>.</w:t>
      </w:r>
      <w:r>
        <w:rPr>
          <w:rFonts w:hint="eastAsia"/>
          <w:lang w:eastAsia="zh-CN"/>
        </w:rPr>
        <w:t>X</w:t>
      </w:r>
      <w:r>
        <w:t>静态出资回收期</w:t>
      </w:r>
    </w:p>
    <w:p>
      <w:pPr>
        <w:pStyle w:val="6"/>
        <w:bidi w:val="0"/>
      </w:pPr>
      <w:r>
        <w:t>　　亦称返本期，它是反映出资项目实践清偿才能的重要目标，其核算公式为：</w:t>
      </w:r>
    </w:p>
    <w:p>
      <w:pPr>
        <w:pStyle w:val="6"/>
        <w:bidi w:val="0"/>
      </w:pPr>
      <w:r>
        <w:t>　　静态出资回收期=(累计净现金流量呈现正值的年数-</w:t>
      </w:r>
      <w:r>
        <w:rPr>
          <w:rFonts w:hint="eastAsia"/>
          <w:lang w:eastAsia="zh-CN"/>
        </w:rPr>
        <w:t>X</w:t>
      </w:r>
      <w:r>
        <w:t>)+上一年累计净现金流量的肯定值/呈现正值年份净现金流量</w:t>
      </w:r>
    </w:p>
    <w:p>
      <w:pPr>
        <w:pStyle w:val="6"/>
        <w:bidi w:val="0"/>
      </w:pPr>
      <w:r>
        <w:t>　　假定用Pc标明静态的基准出资回收期，则当Pt≤Pc时，该项目是能够考虑承受的。</w:t>
      </w:r>
    </w:p>
    <w:p>
      <w:pPr>
        <w:pStyle w:val="6"/>
        <w:bidi w:val="0"/>
      </w:pPr>
      <w:r>
        <w:t>　　运用静态出资回收期的长处：经济含义显着、直观，核算简洁;在必定程度上反映出资作用的好坏。缺陷：只考虑出资回收前的作用，不能反映回收之后的作用，无法衡量项目出资收益的巨细;没考虑时刻价值，无法正确辨识项目好坏。</w:t>
      </w:r>
    </w:p>
    <w:p>
      <w:pPr>
        <w:pStyle w:val="6"/>
        <w:bidi w:val="0"/>
      </w:pPr>
      <w:r>
        <w:t>　　</w:t>
      </w:r>
      <w:r>
        <w:rPr>
          <w:rFonts w:hint="eastAsia"/>
          <w:lang w:eastAsia="zh-CN"/>
        </w:rPr>
        <w:t>X</w:t>
      </w:r>
      <w:r>
        <w:t>.</w:t>
      </w:r>
      <w:r>
        <w:rPr>
          <w:rFonts w:hint="eastAsia"/>
          <w:lang w:eastAsia="zh-CN"/>
        </w:rPr>
        <w:t>X</w:t>
      </w:r>
      <w:r>
        <w:t>动态出资回收期(Pt)</w:t>
      </w:r>
    </w:p>
    <w:p>
      <w:pPr>
        <w:pStyle w:val="6"/>
        <w:bidi w:val="0"/>
      </w:pPr>
      <w:r>
        <w:t>　　是指项目以净收益赔偿悉数出资所需的时刻，是反映出资回收期力的重要目标。动态出资回收期以年标明，一般自建造开端年算起。表达公式为：</w:t>
      </w:r>
    </w:p>
    <w:p>
      <w:pPr>
        <w:pStyle w:val="6"/>
        <w:bidi w:val="0"/>
      </w:pPr>
      <w:r>
        <w:t>　　动态出资回收收期=[累计折现值开端呈现正值的年数-</w:t>
      </w:r>
      <w:r>
        <w:rPr>
          <w:rFonts w:hint="eastAsia"/>
          <w:lang w:eastAsia="zh-CN"/>
        </w:rPr>
        <w:t>X</w:t>
      </w:r>
      <w:r>
        <w:t>]+上年累计折现值的肯定值/当年净现金流量的折现值</w:t>
      </w:r>
    </w:p>
    <w:p>
      <w:pPr>
        <w:pStyle w:val="6"/>
        <w:bidi w:val="0"/>
      </w:pPr>
      <w:r>
        <w:t>　　在项目财政点评中，动态出资回收期愈小阐明项目出资回收的才能越强;动态出资回收期Pt与基准回收期PC相比较，假如Pt&lt;pc，标明项目出资能在规则的时刻内回收，则项目在财政上可行。 p="" 在附加几个财政目标:(详细数字公式,无法输入某些符号,就用文字代表)&lt;=""&gt;</w:t>
      </w:r>
    </w:p>
    <w:p>
      <w:pPr>
        <w:pStyle w:val="6"/>
        <w:bidi w:val="0"/>
      </w:pPr>
      <w:r>
        <w:t>　　</w:t>
      </w:r>
      <w:r>
        <w:rPr>
          <w:rFonts w:hint="eastAsia"/>
          <w:lang w:eastAsia="zh-CN"/>
        </w:rPr>
        <w:t>X</w:t>
      </w:r>
      <w:r>
        <w:t>项目清偿才能剖析首要是调查项目核算期内各年的财政状况即偿债才能，首要是经过告贷还本付息核算表、资金来源与运用表和财物负债表的点评，核算财政比率和固定财物出资告贷归还期进行，包含以下几个目标：财政比率、固定财物告贷归还期。</w:t>
      </w:r>
    </w:p>
    <w:p>
      <w:pPr>
        <w:pStyle w:val="6"/>
        <w:bidi w:val="0"/>
      </w:pPr>
      <w:r>
        <w:t>　　</w:t>
      </w:r>
      <w:r>
        <w:rPr>
          <w:rFonts w:hint="eastAsia"/>
          <w:lang w:eastAsia="zh-CN"/>
        </w:rPr>
        <w:t>X</w:t>
      </w:r>
      <w:r>
        <w:t>.</w:t>
      </w:r>
      <w:r>
        <w:rPr>
          <w:rFonts w:hint="eastAsia"/>
          <w:lang w:eastAsia="zh-CN"/>
        </w:rPr>
        <w:t>X</w:t>
      </w:r>
      <w:r>
        <w:t>、财政比率剖析</w:t>
      </w:r>
    </w:p>
    <w:p>
      <w:pPr>
        <w:pStyle w:val="6"/>
        <w:bidi w:val="0"/>
      </w:pPr>
      <w:r>
        <w:t>　　是经过财物负债表核算财物负债率、活动比率和速动比率等财政比率，与同职业的均匀水平和其他参照物相比较，以确认项目财政的清偿才能。其间财物负债率的公式为：</w:t>
      </w:r>
    </w:p>
    <w:p>
      <w:pPr>
        <w:pStyle w:val="6"/>
        <w:bidi w:val="0"/>
      </w:pPr>
      <w:r>
        <w:t>　　财物负债率=负债总额/财物总额</w:t>
      </w:r>
    </w:p>
    <w:p>
      <w:pPr>
        <w:pStyle w:val="6"/>
        <w:bidi w:val="0"/>
      </w:pPr>
      <w:r>
        <w:t>　　一般来说，这一比率应低于</w:t>
      </w:r>
      <w:r>
        <w:rPr>
          <w:rFonts w:hint="eastAsia"/>
          <w:lang w:eastAsia="zh-CN"/>
        </w:rPr>
        <w:t>XXX</w:t>
      </w:r>
      <w:r>
        <w:t>%，由于企业负债只能终究以财物清偿。该目标反映债款的安全，但一起也反映企业运用负债运营才能。其间活动比率的公式为：活动比率=活动财物总额/活动负债总额</w:t>
      </w:r>
    </w:p>
    <w:p>
      <w:pPr>
        <w:pStyle w:val="6"/>
        <w:bidi w:val="0"/>
      </w:pPr>
      <w:r>
        <w:t>　　这一目标是衡量企业活动财物在短期债款到期前用于偿付活动负债才能的财政目标。一般</w:t>
      </w:r>
      <w:r>
        <w:rPr>
          <w:rFonts w:hint="eastAsia"/>
          <w:lang w:eastAsia="zh-CN"/>
        </w:rPr>
        <w:t>XXX</w:t>
      </w:r>
      <w:r>
        <w:t>%是最佳状况。假如份额高了，则阐明财物搁置;过低则是债款不安全。而速动比率的公式为：</w:t>
      </w:r>
    </w:p>
    <w:p>
      <w:pPr>
        <w:pStyle w:val="6"/>
        <w:bidi w:val="0"/>
      </w:pPr>
      <w:r>
        <w:t>　　速动比率=速动财物总额/活动负债总额，这一目标是衡量企业活动财物中能够当即用于偿付活动负债的才能。最佳比率为</w:t>
      </w:r>
      <w:r>
        <w:rPr>
          <w:rFonts w:hint="eastAsia"/>
          <w:lang w:eastAsia="zh-CN"/>
        </w:rPr>
        <w:t>XXX</w:t>
      </w:r>
      <w:r>
        <w:t>%。</w:t>
      </w:r>
    </w:p>
    <w:p>
      <w:pPr>
        <w:pStyle w:val="6"/>
        <w:bidi w:val="0"/>
      </w:pPr>
      <w:r>
        <w:t>　　</w:t>
      </w:r>
      <w:r>
        <w:rPr>
          <w:rFonts w:hint="eastAsia"/>
          <w:lang w:eastAsia="zh-CN"/>
        </w:rPr>
        <w:t>X</w:t>
      </w:r>
      <w:r>
        <w:t>.</w:t>
      </w:r>
      <w:r>
        <w:rPr>
          <w:rFonts w:hint="eastAsia"/>
          <w:lang w:eastAsia="zh-CN"/>
        </w:rPr>
        <w:t>X</w:t>
      </w:r>
      <w:r>
        <w:t>、固定财物告贷归还期</w:t>
      </w:r>
    </w:p>
    <w:p>
      <w:pPr>
        <w:pStyle w:val="6"/>
        <w:bidi w:val="0"/>
      </w:pPr>
      <w:r>
        <w:t>　　是指在国家方针规则及项目详细财政条件下，项目投产后可用作还款的赢利、折旧及其他收益额归还固定财物出资告贷本金和利息所需求的时刻。</w:t>
      </w:r>
    </w:p>
    <w:p>
      <w:pPr>
        <w:pStyle w:val="6"/>
        <w:bidi w:val="0"/>
      </w:pPr>
      <w:r>
        <w:t>　　进行比率剖析应该要注意以下的几点：所剖析的项目要具有可比性、相关性,将不相关的项目进行比照是没有含义的;比照口径的共同性,即比率的分子项与分母项必须在时刻、规模等方面坚持口径共同;挑选比较的规范要具有科学性,要注意职业要素、出产运营状况差异性等要素;要注意将各种比率有机联系起来进行全面剖析,不行孤登时看某种或某类比率,一起要结合其他剖析办法,这样才能对企业的前史、现状和将来有一个翔实的剖析和了解,到达财政剖析的意图。</w:t>
      </w:r>
    </w:p>
    <w:p>
      <w:pPr>
        <w:pStyle w:val="6"/>
        <w:bidi w:val="0"/>
      </w:pPr>
      <w:r>
        <w:t>　　而比率剖析法的局限性首要表现在：在财政剖析中，比率剖析用处最广，但也有局限性，突出表现在：比率剖析归于静态剖析，关于猜测未来并非肯定合理牢靠。比率剖析所运用的数据为帐面价值，难以反映物价水准的影响。可见，在运用比率剖析时，要注意将各种比率有机联系起来进行全面剖析，不行单独地看某种或各种比率，不然便难以精确地判别公司的全体状况;要注意检查公司的性质和实践状况，而不光是着眼于财政报表;要注意结合差额剖析。</w:t>
      </w:r>
    </w:p>
    <w:p>
      <w:pPr>
        <w:pStyle w:val="6"/>
        <w:bidi w:val="0"/>
      </w:pPr>
      <w:r>
        <w:t>　　</w:t>
      </w:r>
      <w:r>
        <w:rPr>
          <w:rFonts w:hint="eastAsia"/>
          <w:lang w:eastAsia="zh-CN"/>
        </w:rPr>
        <w:t>X</w:t>
      </w:r>
      <w:r>
        <w:t>、项目建造布景 西安市丰庆路兰州军区所属土地，需求开发改造，项目占地沿劳动路</w:t>
      </w:r>
      <w:r>
        <w:rPr>
          <w:rFonts w:hint="eastAsia"/>
          <w:lang w:eastAsia="zh-CN"/>
        </w:rPr>
        <w:t>XX</w:t>
      </w:r>
      <w:r>
        <w:t>亩、丰庆路</w:t>
      </w:r>
      <w:r>
        <w:rPr>
          <w:rFonts w:hint="eastAsia"/>
          <w:lang w:eastAsia="zh-CN"/>
        </w:rPr>
        <w:t>XX</w:t>
      </w:r>
      <w:r>
        <w:t>亩，总占地</w:t>
      </w:r>
      <w:r>
        <w:rPr>
          <w:rFonts w:hint="eastAsia"/>
          <w:lang w:eastAsia="zh-CN"/>
        </w:rPr>
        <w:t>XX</w:t>
      </w:r>
      <w:r>
        <w:t>亩，规划总</w:t>
      </w:r>
      <w:r>
        <w:rPr>
          <w:rFonts w:hint="eastAsia"/>
          <w:lang w:eastAsia="zh-CN"/>
        </w:rPr>
        <w:t>XX</w:t>
      </w:r>
      <w:r>
        <w:t>万平方，其间商铺面积</w:t>
      </w:r>
      <w:r>
        <w:rPr>
          <w:rFonts w:hint="eastAsia"/>
          <w:lang w:eastAsia="zh-CN"/>
        </w:rPr>
        <w:t>X</w:t>
      </w:r>
      <w:r>
        <w:t>万平方。。</w:t>
      </w:r>
    </w:p>
    <w:p>
      <w:pPr>
        <w:pStyle w:val="6"/>
        <w:bidi w:val="0"/>
      </w:pPr>
      <w:r>
        <w:t>　　项目坐落丰庆路商业区、西稍门商业区之间，项目分两块，分别为丰庆路沿街、劳动路沿街，周边大型商圈包含丰庆路批发商场、大唐西市、西稍门商圈，商业远景优胜。</w:t>
      </w:r>
    </w:p>
    <w:p>
      <w:pPr>
        <w:pStyle w:val="6"/>
        <w:bidi w:val="0"/>
      </w:pPr>
      <w:r>
        <w:t>　　项目为部队开发，缺少当地开发手续，不能做按揭，土地年限</w:t>
      </w:r>
      <w:r>
        <w:rPr>
          <w:rFonts w:hint="eastAsia"/>
          <w:lang w:eastAsia="zh-CN"/>
        </w:rPr>
        <w:t>XX</w:t>
      </w:r>
      <w:r>
        <w:t>年。现在，总政开发手续现已完全。</w:t>
      </w:r>
    </w:p>
    <w:p>
      <w:pPr>
        <w:pStyle w:val="6"/>
        <w:bidi w:val="0"/>
      </w:pPr>
      <w:r>
        <w:t>　　</w:t>
      </w:r>
      <w:r>
        <w:rPr>
          <w:rFonts w:hint="eastAsia"/>
          <w:lang w:eastAsia="zh-CN"/>
        </w:rPr>
        <w:t>X</w:t>
      </w:r>
      <w:r>
        <w:t>、项目协作概略</w:t>
      </w:r>
    </w:p>
    <w:p>
      <w:pPr>
        <w:pStyle w:val="6"/>
        <w:bidi w:val="0"/>
      </w:pPr>
      <w:r>
        <w:t>　　项目以联合开发为主，其间返还部队</w:t>
      </w:r>
      <w:r>
        <w:rPr>
          <w:rFonts w:hint="eastAsia"/>
          <w:lang w:eastAsia="zh-CN"/>
        </w:rPr>
        <w:t>X</w:t>
      </w:r>
      <w:r>
        <w:t>万平方，部队每平方付出</w:t>
      </w:r>
      <w:r>
        <w:rPr>
          <w:rFonts w:hint="eastAsia"/>
          <w:lang w:eastAsia="zh-CN"/>
        </w:rPr>
        <w:t>XXXX</w:t>
      </w:r>
      <w:r>
        <w:t>元。返款付出分三次，初次为项目四层完毕，返还</w:t>
      </w:r>
      <w:r>
        <w:rPr>
          <w:rFonts w:hint="eastAsia"/>
          <w:lang w:eastAsia="zh-CN"/>
        </w:rPr>
        <w:t>XXXX</w:t>
      </w:r>
      <w:r>
        <w:t>万，项目封顶返还一部分，交房返还一部分。</w:t>
      </w:r>
    </w:p>
    <w:p>
      <w:pPr>
        <w:pStyle w:val="6"/>
        <w:bidi w:val="0"/>
      </w:pPr>
      <w:r>
        <w:t>　　一起，部队占开发赢利</w:t>
      </w:r>
      <w:r>
        <w:rPr>
          <w:rFonts w:hint="eastAsia"/>
          <w:lang w:eastAsia="zh-CN"/>
        </w:rPr>
        <w:t>XX</w:t>
      </w:r>
      <w:r>
        <w:t>%，相关领导人占</w:t>
      </w:r>
      <w:r>
        <w:rPr>
          <w:rFonts w:hint="eastAsia"/>
          <w:lang w:eastAsia="zh-CN"/>
        </w:rPr>
        <w:t>XX</w:t>
      </w:r>
      <w:r>
        <w:t>%(此部分可细谈下降)。</w:t>
      </w:r>
    </w:p>
    <w:p>
      <w:pPr>
        <w:pStyle w:val="6"/>
        <w:bidi w:val="0"/>
      </w:pPr>
      <w:r>
        <w:t>　　二、西安市住所商场现状剖析</w:t>
      </w:r>
      <w:r>
        <w:rPr>
          <w:rFonts w:hint="eastAsia"/>
          <w:lang w:eastAsia="zh-CN"/>
        </w:rPr>
        <w:t>X</w:t>
      </w:r>
      <w:r>
        <w:t>、</w:t>
      </w:r>
      <w:r>
        <w:rPr>
          <w:rFonts w:hint="eastAsia"/>
          <w:lang w:eastAsia="zh-CN"/>
        </w:rPr>
        <w:t>XXXX</w:t>
      </w:r>
      <w:r>
        <w:t>年</w:t>
      </w:r>
      <w:r>
        <w:rPr>
          <w:rFonts w:hint="eastAsia"/>
          <w:lang w:eastAsia="zh-CN"/>
        </w:rPr>
        <w:t>XX</w:t>
      </w:r>
      <w:r>
        <w:t>月住所商场剖析</w:t>
      </w:r>
    </w:p>
    <w:p>
      <w:pPr>
        <w:pStyle w:val="6"/>
        <w:bidi w:val="0"/>
      </w:pPr>
      <w:r>
        <w:t>　　西安房地产信息网数据研讨中心数据监测显现：</w:t>
      </w:r>
      <w:r>
        <w:rPr>
          <w:rFonts w:hint="eastAsia"/>
          <w:lang w:eastAsia="zh-CN"/>
        </w:rPr>
        <w:t>XX</w:t>
      </w:r>
      <w:r>
        <w:t>月</w:t>
      </w:r>
      <w:r>
        <w:rPr>
          <w:rFonts w:hint="eastAsia"/>
          <w:lang w:eastAsia="zh-CN"/>
        </w:rPr>
        <w:t>XX</w:t>
      </w:r>
      <w:r>
        <w:t>日西安市商品房成交持续下滑。</w:t>
      </w:r>
      <w:r>
        <w:rPr>
          <w:rFonts w:hint="eastAsia"/>
          <w:lang w:eastAsia="zh-CN"/>
        </w:rPr>
        <w:t>XX</w:t>
      </w:r>
      <w:r>
        <w:t>日商品房共成交</w:t>
      </w:r>
      <w:r>
        <w:rPr>
          <w:rFonts w:hint="eastAsia"/>
          <w:lang w:eastAsia="zh-CN"/>
        </w:rPr>
        <w:t>XXX</w:t>
      </w:r>
      <w:r>
        <w:t>套，较上前一日削减</w:t>
      </w:r>
      <w:r>
        <w:rPr>
          <w:rFonts w:hint="eastAsia"/>
          <w:lang w:eastAsia="zh-CN"/>
        </w:rPr>
        <w:t>XX</w:t>
      </w:r>
      <w:r>
        <w:t>套，其间住所共成交，</w:t>
      </w:r>
      <w:r>
        <w:rPr>
          <w:rFonts w:hint="eastAsia"/>
          <w:lang w:eastAsia="zh-CN"/>
        </w:rPr>
        <w:t>XXX</w:t>
      </w:r>
      <w:r>
        <w:t>套，较上前一日削减</w:t>
      </w:r>
      <w:r>
        <w:rPr>
          <w:rFonts w:hint="eastAsia"/>
          <w:lang w:eastAsia="zh-CN"/>
        </w:rPr>
        <w:t>XX</w:t>
      </w:r>
      <w:r>
        <w:t>套。商品房总成交面积较前一日环比下滑</w:t>
      </w:r>
      <w:r>
        <w:rPr>
          <w:rFonts w:hint="eastAsia"/>
          <w:lang w:eastAsia="zh-CN"/>
        </w:rPr>
        <w:t>XX</w:t>
      </w:r>
      <w:r>
        <w:t>.</w:t>
      </w:r>
      <w:r>
        <w:rPr>
          <w:rFonts w:hint="eastAsia"/>
          <w:lang w:eastAsia="zh-CN"/>
        </w:rPr>
        <w:t>X</w:t>
      </w:r>
      <w:r>
        <w:t>%。其间，普通住所成交面积环比下滑</w:t>
      </w:r>
      <w:r>
        <w:rPr>
          <w:rFonts w:hint="eastAsia"/>
          <w:lang w:eastAsia="zh-CN"/>
        </w:rPr>
        <w:t>XX</w:t>
      </w:r>
      <w:r>
        <w:t>.</w:t>
      </w:r>
      <w:r>
        <w:rPr>
          <w:rFonts w:hint="eastAsia"/>
          <w:lang w:eastAsia="zh-CN"/>
        </w:rPr>
        <w:t>X</w:t>
      </w:r>
      <w:r>
        <w:t>%。</w:t>
      </w:r>
    </w:p>
    <w:p>
      <w:pPr>
        <w:pStyle w:val="6"/>
        <w:bidi w:val="0"/>
      </w:pPr>
      <w:r>
        <w:t>　　</w:t>
      </w:r>
      <w:r>
        <w:rPr>
          <w:rFonts w:hint="eastAsia"/>
          <w:lang w:eastAsia="zh-CN"/>
        </w:rPr>
        <w:t>X</w:t>
      </w:r>
      <w:r>
        <w:t>、商业地产首领西安</w:t>
      </w:r>
    </w:p>
    <w:p>
      <w:pPr>
        <w:pStyle w:val="6"/>
        <w:bidi w:val="0"/>
      </w:pPr>
      <w:r>
        <w:t>　　在住所全体滑坡的一起，商业项目却反常昌盛，更多出资本钱很多涌入商业地产商场，商铺呈现热销。从骡马市的罗马星年代广场热销，到东门里大连万达广场的枪手，能够看出，商铺，以及公寓楼正在成为西安地产商场主力。</w:t>
      </w:r>
    </w:p>
    <w:p>
      <w:pPr>
        <w:pStyle w:val="6"/>
        <w:bidi w:val="0"/>
      </w:pPr>
      <w:r>
        <w:t>　　三、项目建造目标</w:t>
      </w:r>
    </w:p>
    <w:tbl>
      <w:tblPr>
        <w:tblW w:w="0" w:type="auto"/>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15" w:type="dxa"/>
          <w:left w:w="15" w:type="dxa"/>
          <w:bottom w:w="15" w:type="dxa"/>
          <w:right w:w="15" w:type="dxa"/>
        </w:tblCellMar>
      </w:tblPr>
      <w:tblGrid>
        <w:gridCol w:w="1185"/>
        <w:gridCol w:w="2520"/>
        <w:gridCol w:w="1800"/>
        <w:gridCol w:w="270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1185" w:type="dxa"/>
            <w:tcBorders>
              <w:top w:val="outset" w:color="auto" w:sz="6" w:space="0"/>
              <w:left w:val="outset" w:color="auto" w:sz="6" w:space="0"/>
              <w:bottom w:val="outset" w:color="auto" w:sz="6" w:space="0"/>
              <w:right w:val="outset" w:color="auto" w:sz="6" w:space="0"/>
            </w:tcBorders>
            <w:shd w:val="clear"/>
            <w:vAlign w:val="top"/>
          </w:tcPr>
          <w:p>
            <w:pPr>
              <w:pStyle w:val="6"/>
              <w:bidi w:val="0"/>
            </w:pPr>
            <w:r>
              <w:rPr>
                <w:lang w:val="en-US" w:eastAsia="zh-CN"/>
              </w:rPr>
              <w:t>序号</w:t>
            </w:r>
          </w:p>
        </w:tc>
        <w:tc>
          <w:tcPr>
            <w:tcW w:w="2520"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eastAsia"/>
                <w:lang w:val="en-US" w:eastAsia="zh-CN"/>
              </w:rPr>
              <w:t>项目</w:t>
            </w:r>
          </w:p>
        </w:tc>
        <w:tc>
          <w:tcPr>
            <w:tcW w:w="1800"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eastAsia"/>
                <w:lang w:val="en-US" w:eastAsia="zh-CN"/>
              </w:rPr>
              <w:t>单位</w:t>
            </w:r>
          </w:p>
        </w:tc>
        <w:tc>
          <w:tcPr>
            <w:tcW w:w="2700"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eastAsia"/>
                <w:lang w:val="en-US" w:eastAsia="zh-CN"/>
              </w:rPr>
              <w:t>数量</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11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25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80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270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11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25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80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270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11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25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80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270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11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25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80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270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bl>
    <w:p>
      <w:pPr>
        <w:pStyle w:val="6"/>
        <w:bidi w:val="0"/>
      </w:pPr>
      <w:r>
        <w:t>　　四、项目出资预算及盈余剖析</w:t>
      </w:r>
      <w:r>
        <w:rPr>
          <w:rFonts w:hint="eastAsia"/>
          <w:lang w:eastAsia="zh-CN"/>
        </w:rPr>
        <w:t>X</w:t>
      </w:r>
      <w:r>
        <w:t>、编制依据①修建工程费用以现行修建工程费用规范及费率为依据;②各种费率依据国家相关文件。</w:t>
      </w:r>
      <w:r>
        <w:rPr>
          <w:rFonts w:hint="eastAsia"/>
          <w:lang w:eastAsia="zh-CN"/>
        </w:rPr>
        <w:t>X</w:t>
      </w:r>
      <w:r>
        <w:t>、出资预算出资预算表</w:t>
      </w:r>
    </w:p>
    <w:tbl>
      <w:tblPr>
        <w:tblW w:w="0" w:type="auto"/>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15" w:type="dxa"/>
          <w:left w:w="15" w:type="dxa"/>
          <w:bottom w:w="15" w:type="dxa"/>
          <w:right w:w="15" w:type="dxa"/>
        </w:tblCellMar>
      </w:tblPr>
      <w:tblGrid>
        <w:gridCol w:w="1514"/>
        <w:gridCol w:w="1821"/>
        <w:gridCol w:w="1528"/>
        <w:gridCol w:w="1587"/>
        <w:gridCol w:w="188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1545" w:type="dxa"/>
            <w:tcBorders>
              <w:top w:val="outset" w:color="auto" w:sz="6" w:space="0"/>
              <w:left w:val="outset" w:color="auto" w:sz="6" w:space="0"/>
              <w:bottom w:val="outset" w:color="auto" w:sz="6" w:space="0"/>
              <w:right w:val="outset" w:color="auto" w:sz="6" w:space="0"/>
            </w:tcBorders>
            <w:shd w:val="clear"/>
            <w:vAlign w:val="top"/>
          </w:tcPr>
          <w:p>
            <w:pPr>
              <w:pStyle w:val="6"/>
              <w:bidi w:val="0"/>
            </w:pPr>
            <w:r>
              <w:rPr>
                <w:rFonts w:hint="eastAsia"/>
                <w:lang w:val="en-US" w:eastAsia="zh-CN"/>
              </w:rPr>
              <w:t>序号</w:t>
            </w:r>
          </w:p>
        </w:tc>
        <w:tc>
          <w:tcPr>
            <w:tcW w:w="1860"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eastAsia"/>
                <w:lang w:val="en-US" w:eastAsia="zh-CN"/>
              </w:rPr>
              <w:t>项目</w:t>
            </w:r>
          </w:p>
        </w:tc>
        <w:tc>
          <w:tcPr>
            <w:tcW w:w="1560"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eastAsia"/>
                <w:lang w:val="en-US" w:eastAsia="zh-CN"/>
              </w:rPr>
              <w:t>单价</w:t>
            </w:r>
          </w:p>
        </w:tc>
        <w:tc>
          <w:tcPr>
            <w:tcW w:w="1620"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eastAsia"/>
                <w:lang w:val="en-US" w:eastAsia="zh-CN"/>
              </w:rPr>
              <w:t>数量</w:t>
            </w:r>
          </w:p>
        </w:tc>
        <w:tc>
          <w:tcPr>
            <w:tcW w:w="1920"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eastAsia"/>
                <w:lang w:val="en-US" w:eastAsia="zh-CN"/>
              </w:rPr>
              <w:t>金额（万元）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154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8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5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6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9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154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8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5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6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9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154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8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5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6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9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154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8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5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6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9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1545" w:type="dxa"/>
            <w:vMerge w:val="restart"/>
            <w:tcBorders>
              <w:top w:val="nil"/>
              <w:left w:val="nil"/>
              <w:bottom w:val="nil"/>
              <w:right w:val="nil"/>
            </w:tcBorders>
            <w:shd w:val="clear"/>
            <w:vAlign w:val="top"/>
          </w:tcPr>
          <w:p>
            <w:pPr>
              <w:pStyle w:val="6"/>
              <w:bidi w:val="0"/>
            </w:pPr>
          </w:p>
        </w:tc>
        <w:tc>
          <w:tcPr>
            <w:tcW w:w="18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5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6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9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1545" w:type="dxa"/>
            <w:vMerge w:val="continue"/>
            <w:tcBorders>
              <w:top w:val="nil"/>
              <w:left w:val="nil"/>
              <w:bottom w:val="nil"/>
              <w:right w:val="nil"/>
            </w:tcBorders>
            <w:shd w:val="clear"/>
            <w:vAlign w:val="top"/>
          </w:tcPr>
          <w:p>
            <w:pPr>
              <w:pStyle w:val="6"/>
              <w:bidi w:val="0"/>
              <w:rPr>
                <w:rFonts w:hint="eastAsia"/>
              </w:rPr>
            </w:pPr>
          </w:p>
        </w:tc>
        <w:tc>
          <w:tcPr>
            <w:tcW w:w="18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5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6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9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154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8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5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6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9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154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8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5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6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9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154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8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56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6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92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bl>
    <w:p>
      <w:pPr>
        <w:pStyle w:val="6"/>
        <w:bidi w:val="0"/>
      </w:pPr>
      <w:r>
        <w:t>　　以上投入未核算财政本钱在内。</w:t>
      </w:r>
    </w:p>
    <w:p>
      <w:pPr>
        <w:pStyle w:val="6"/>
        <w:bidi w:val="0"/>
      </w:pPr>
      <w:r>
        <w:t>　　</w:t>
      </w:r>
      <w:r>
        <w:rPr>
          <w:rFonts w:hint="eastAsia"/>
          <w:lang w:eastAsia="zh-CN"/>
        </w:rPr>
        <w:t>X</w:t>
      </w:r>
      <w:r>
        <w:t>、出售收入</w:t>
      </w:r>
    </w:p>
    <w:p>
      <w:pPr>
        <w:pStyle w:val="6"/>
        <w:bidi w:val="0"/>
      </w:pPr>
      <w:r>
        <w:t>　　依据项目所在方位、周围环境和西安市本钱房地产现行商场猜测，考虑到房地产出售危险和工程建造本钱等归纳要素，本区住所均价定位为</w:t>
      </w:r>
      <w:r>
        <w:rPr>
          <w:rFonts w:hint="eastAsia"/>
          <w:lang w:eastAsia="zh-CN"/>
        </w:rPr>
        <w:t>XXXX</w:t>
      </w:r>
      <w:r>
        <w:t>元/ m</w:t>
      </w:r>
      <w:r>
        <w:rPr>
          <w:rFonts w:hint="eastAsia"/>
          <w:lang w:eastAsia="zh-CN"/>
        </w:rPr>
        <w:t>X</w:t>
      </w:r>
      <w:r>
        <w:t xml:space="preserve"> ，低层商铺均价定位为</w:t>
      </w:r>
      <w:r>
        <w:rPr>
          <w:rFonts w:hint="eastAsia"/>
          <w:lang w:eastAsia="zh-CN"/>
        </w:rPr>
        <w:t>XXXXX</w:t>
      </w:r>
      <w:r>
        <w:t>元/ m</w:t>
      </w:r>
      <w:r>
        <w:rPr>
          <w:rFonts w:hint="eastAsia"/>
          <w:lang w:eastAsia="zh-CN"/>
        </w:rPr>
        <w:t>X</w:t>
      </w:r>
      <w:r>
        <w:t xml:space="preserve"> ，部队返款</w:t>
      </w:r>
      <w:r>
        <w:rPr>
          <w:rFonts w:hint="eastAsia"/>
          <w:lang w:eastAsia="zh-CN"/>
        </w:rPr>
        <w:t>XXXX</w:t>
      </w:r>
      <w:r>
        <w:t>元/ m</w:t>
      </w:r>
      <w:r>
        <w:rPr>
          <w:rFonts w:hint="eastAsia"/>
          <w:lang w:eastAsia="zh-CN"/>
        </w:rPr>
        <w:t>X</w:t>
      </w:r>
      <w:r>
        <w:t>。</w:t>
      </w:r>
    </w:p>
    <w:p>
      <w:pPr>
        <w:pStyle w:val="6"/>
        <w:bidi w:val="0"/>
      </w:pPr>
      <w:r>
        <w:t>　　出售收入见下表：</w:t>
      </w:r>
    </w:p>
    <w:tbl>
      <w:tblPr>
        <w:tblW w:w="0" w:type="auto"/>
        <w:tblInd w:w="108"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15" w:type="dxa"/>
          <w:left w:w="15" w:type="dxa"/>
          <w:bottom w:w="15" w:type="dxa"/>
          <w:right w:w="15" w:type="dxa"/>
        </w:tblCellMar>
      </w:tblPr>
      <w:tblGrid>
        <w:gridCol w:w="1061"/>
        <w:gridCol w:w="1938"/>
        <w:gridCol w:w="1251"/>
        <w:gridCol w:w="1075"/>
        <w:gridCol w:w="1119"/>
        <w:gridCol w:w="178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1080" w:type="dxa"/>
            <w:tcBorders>
              <w:top w:val="outset" w:color="auto" w:sz="6" w:space="0"/>
              <w:left w:val="outset" w:color="auto" w:sz="6" w:space="0"/>
              <w:bottom w:val="outset" w:color="auto" w:sz="6" w:space="0"/>
              <w:right w:val="outset" w:color="auto" w:sz="6" w:space="0"/>
            </w:tcBorders>
            <w:shd w:val="clear"/>
            <w:vAlign w:val="top"/>
          </w:tcPr>
          <w:p>
            <w:pPr>
              <w:pStyle w:val="6"/>
              <w:bidi w:val="0"/>
            </w:pPr>
            <w:r>
              <w:rPr>
                <w:rFonts w:hint="eastAsia"/>
                <w:lang w:val="en-US" w:eastAsia="zh-CN"/>
              </w:rPr>
              <w:t>序号</w:t>
            </w:r>
          </w:p>
        </w:tc>
        <w:tc>
          <w:tcPr>
            <w:tcW w:w="1980"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eastAsia"/>
                <w:lang w:val="en-US" w:eastAsia="zh-CN"/>
              </w:rPr>
              <w:t>项目</w:t>
            </w:r>
          </w:p>
        </w:tc>
        <w:tc>
          <w:tcPr>
            <w:tcW w:w="1275"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eastAsia"/>
                <w:lang w:val="en-US" w:eastAsia="zh-CN"/>
              </w:rPr>
              <w:t>单位</w:t>
            </w:r>
          </w:p>
        </w:tc>
        <w:tc>
          <w:tcPr>
            <w:tcW w:w="1095"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eastAsia"/>
                <w:lang w:val="en-US" w:eastAsia="zh-CN"/>
              </w:rPr>
              <w:t>数量</w:t>
            </w:r>
          </w:p>
        </w:tc>
        <w:tc>
          <w:tcPr>
            <w:tcW w:w="1140"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eastAsia"/>
                <w:lang w:val="en-US" w:eastAsia="zh-CN"/>
              </w:rPr>
              <w:t>价格</w:t>
            </w:r>
          </w:p>
        </w:tc>
        <w:tc>
          <w:tcPr>
            <w:tcW w:w="1815"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eastAsia"/>
                <w:lang w:val="en-US" w:eastAsia="zh-CN"/>
              </w:rPr>
              <w:t>金额（万元）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108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98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27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09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14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81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108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98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27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09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14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81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108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98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27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09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14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81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108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98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27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09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140"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181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bl>
    <w:p>
      <w:pPr>
        <w:pStyle w:val="6"/>
        <w:bidi w:val="0"/>
      </w:pPr>
      <w:r>
        <w:t>　　以上出售收入，未核算房价上涨。</w:t>
      </w:r>
    </w:p>
    <w:p>
      <w:pPr>
        <w:pStyle w:val="6"/>
        <w:bidi w:val="0"/>
      </w:pPr>
      <w:r>
        <w:t>　　</w:t>
      </w:r>
      <w:r>
        <w:rPr>
          <w:rFonts w:hint="eastAsia"/>
          <w:lang w:eastAsia="zh-CN"/>
        </w:rPr>
        <w:t>X</w:t>
      </w:r>
      <w:r>
        <w:t>、营业税及附加</w:t>
      </w:r>
    </w:p>
    <w:p>
      <w:pPr>
        <w:pStyle w:val="6"/>
        <w:bidi w:val="0"/>
      </w:pPr>
      <w:r>
        <w:t>　　本项目应计营业税、城市保护建造税和教育附加税，综上本项意图归纳税率为</w:t>
      </w:r>
      <w:r>
        <w:rPr>
          <w:rFonts w:hint="eastAsia"/>
          <w:lang w:eastAsia="zh-CN"/>
        </w:rPr>
        <w:t>X</w:t>
      </w:r>
      <w:r>
        <w:t>%，共应交纳税金及附加</w:t>
      </w:r>
      <w:r>
        <w:rPr>
          <w:rFonts w:hint="eastAsia"/>
          <w:lang w:eastAsia="zh-CN"/>
        </w:rPr>
        <w:t>XXXX</w:t>
      </w:r>
      <w:r>
        <w:t>万元。</w:t>
      </w:r>
      <w:r>
        <w:rPr>
          <w:rFonts w:hint="eastAsia"/>
          <w:lang w:eastAsia="zh-CN"/>
        </w:rPr>
        <w:t>X</w:t>
      </w:r>
      <w:r>
        <w:t>、盈余才能剖析</w:t>
      </w:r>
    </w:p>
    <w:tbl>
      <w:tblPr>
        <w:tblW w:w="0" w:type="auto"/>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15" w:type="dxa"/>
          <w:left w:w="15" w:type="dxa"/>
          <w:bottom w:w="15" w:type="dxa"/>
          <w:right w:w="15" w:type="dxa"/>
        </w:tblCellMar>
      </w:tblPr>
      <w:tblGrid>
        <w:gridCol w:w="2044"/>
        <w:gridCol w:w="3509"/>
        <w:gridCol w:w="278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2085" w:type="dxa"/>
            <w:tcBorders>
              <w:top w:val="outset" w:color="auto" w:sz="6" w:space="0"/>
              <w:left w:val="outset" w:color="auto" w:sz="6" w:space="0"/>
              <w:bottom w:val="outset" w:color="auto" w:sz="6" w:space="0"/>
              <w:right w:val="outset" w:color="auto" w:sz="6" w:space="0"/>
            </w:tcBorders>
            <w:shd w:val="clear"/>
            <w:vAlign w:val="top"/>
          </w:tcPr>
          <w:p>
            <w:pPr>
              <w:pStyle w:val="6"/>
              <w:bidi w:val="0"/>
            </w:pPr>
            <w:r>
              <w:rPr>
                <w:rFonts w:hint="eastAsia"/>
                <w:lang w:val="en-US" w:eastAsia="zh-CN"/>
              </w:rPr>
              <w:t>序号</w:t>
            </w:r>
          </w:p>
        </w:tc>
        <w:tc>
          <w:tcPr>
            <w:tcW w:w="3585"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eastAsia"/>
                <w:lang w:val="en-US" w:eastAsia="zh-CN"/>
              </w:rPr>
              <w:t>项目</w:t>
            </w:r>
          </w:p>
        </w:tc>
        <w:tc>
          <w:tcPr>
            <w:tcW w:w="2835" w:type="dxa"/>
            <w:tcBorders>
              <w:top w:val="single" w:color="auto" w:sz="8" w:space="0"/>
              <w:left w:val="single" w:color="auto" w:sz="8" w:space="0"/>
              <w:bottom w:val="single" w:color="auto" w:sz="8" w:space="0"/>
              <w:right w:val="single" w:color="auto" w:sz="8" w:space="0"/>
            </w:tcBorders>
            <w:shd w:val="clear"/>
            <w:vAlign w:val="top"/>
          </w:tcPr>
          <w:p>
            <w:pPr>
              <w:pStyle w:val="6"/>
              <w:bidi w:val="0"/>
            </w:pPr>
            <w:r>
              <w:rPr>
                <w:rFonts w:hint="eastAsia"/>
                <w:lang w:val="en-US" w:eastAsia="zh-CN"/>
              </w:rPr>
              <w:t>算计（万元）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0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35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283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20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35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283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20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35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283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20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35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283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bl>
    <w:p>
      <w:pPr>
        <w:pStyle w:val="6"/>
        <w:bidi w:val="0"/>
      </w:pPr>
      <w:r>
        <w:t>　　</w:t>
      </w:r>
      <w:r>
        <w:rPr>
          <w:rFonts w:hint="eastAsia"/>
          <w:lang w:eastAsia="zh-CN"/>
        </w:rPr>
        <w:t>X</w:t>
      </w:r>
      <w:r>
        <w:t>、其他分配</w:t>
      </w:r>
    </w:p>
    <w:tbl>
      <w:tblPr>
        <w:tblW w:w="0" w:type="auto"/>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15" w:type="dxa"/>
          <w:left w:w="15" w:type="dxa"/>
          <w:bottom w:w="15" w:type="dxa"/>
          <w:right w:w="15" w:type="dxa"/>
        </w:tblCellMar>
      </w:tblPr>
      <w:tblGrid>
        <w:gridCol w:w="2043"/>
        <w:gridCol w:w="3514"/>
        <w:gridCol w:w="277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2085" w:type="dxa"/>
            <w:tcBorders>
              <w:top w:val="outset" w:color="auto" w:sz="6" w:space="0"/>
              <w:left w:val="outset" w:color="auto" w:sz="6" w:space="0"/>
              <w:bottom w:val="outset" w:color="auto" w:sz="6" w:space="0"/>
              <w:right w:val="outset" w:color="auto" w:sz="6" w:space="0"/>
            </w:tcBorders>
            <w:shd w:val="clear"/>
            <w:vAlign w:val="top"/>
          </w:tcPr>
          <w:p>
            <w:pPr>
              <w:pStyle w:val="6"/>
              <w:bidi w:val="0"/>
            </w:pPr>
          </w:p>
        </w:tc>
        <w:tc>
          <w:tcPr>
            <w:tcW w:w="35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283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0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35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283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0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35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283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c>
          <w:tcPr>
            <w:tcW w:w="20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35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283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0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358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c>
          <w:tcPr>
            <w:tcW w:w="2835" w:type="dxa"/>
            <w:tcBorders>
              <w:top w:val="single" w:color="auto" w:sz="8" w:space="0"/>
              <w:left w:val="single" w:color="auto" w:sz="8" w:space="0"/>
              <w:bottom w:val="single" w:color="auto" w:sz="8" w:space="0"/>
              <w:right w:val="single" w:color="auto" w:sz="8" w:space="0"/>
            </w:tcBorders>
            <w:shd w:val="clear"/>
            <w:vAlign w:val="top"/>
          </w:tcPr>
          <w:p>
            <w:pPr>
              <w:pStyle w:val="6"/>
              <w:bidi w:val="0"/>
            </w:pPr>
          </w:p>
        </w:tc>
      </w:tr>
    </w:tbl>
    <w:p>
      <w:pPr>
        <w:pStyle w:val="6"/>
        <w:bidi w:val="0"/>
      </w:pPr>
      <w:r>
        <w:t>　　五、协作方法及实践出资</w:t>
      </w:r>
    </w:p>
    <w:p>
      <w:pPr>
        <w:pStyle w:val="6"/>
        <w:bidi w:val="0"/>
      </w:pPr>
      <w:r>
        <w:t>　　分两种出资形式。</w:t>
      </w:r>
    </w:p>
    <w:p>
      <w:pPr>
        <w:pStyle w:val="6"/>
        <w:bidi w:val="0"/>
      </w:pPr>
      <w:r>
        <w:t>　　第一种形式：出资开发。</w:t>
      </w:r>
    </w:p>
    <w:p>
      <w:pPr>
        <w:pStyle w:val="6"/>
        <w:bidi w:val="0"/>
      </w:pPr>
      <w:r>
        <w:t>　　</w:t>
      </w:r>
      <w:r>
        <w:rPr>
          <w:rFonts w:hint="eastAsia"/>
          <w:lang w:eastAsia="zh-CN"/>
        </w:rPr>
        <w:t>X</w:t>
      </w:r>
      <w:r>
        <w:t>、出资人敢</w:t>
      </w:r>
      <w:r>
        <w:rPr>
          <w:rFonts w:hint="eastAsia"/>
          <w:lang w:eastAsia="zh-CN"/>
        </w:rPr>
        <w:t>XXXX</w:t>
      </w:r>
      <w:r>
        <w:t>年</w:t>
      </w:r>
      <w:r>
        <w:rPr>
          <w:rFonts w:hint="eastAsia"/>
          <w:lang w:eastAsia="zh-CN"/>
        </w:rPr>
        <w:t>XX</w:t>
      </w:r>
      <w:r>
        <w:t>月</w:t>
      </w:r>
      <w:r>
        <w:rPr>
          <w:rFonts w:hint="eastAsia"/>
          <w:lang w:eastAsia="zh-CN"/>
        </w:rPr>
        <w:t>XX</w:t>
      </w:r>
      <w:r>
        <w:t>日前，部队查核相关开发手续及批文，签定协作协议，双控账号注资</w:t>
      </w:r>
      <w:r>
        <w:rPr>
          <w:rFonts w:hint="eastAsia"/>
          <w:lang w:eastAsia="zh-CN"/>
        </w:rPr>
        <w:t>XXXX</w:t>
      </w:r>
      <w:r>
        <w:t>万元;</w:t>
      </w:r>
    </w:p>
    <w:p>
      <w:pPr>
        <w:pStyle w:val="6"/>
        <w:bidi w:val="0"/>
      </w:pPr>
      <w:r>
        <w:t>　　</w:t>
      </w:r>
      <w:r>
        <w:rPr>
          <w:rFonts w:hint="eastAsia"/>
          <w:lang w:eastAsia="zh-CN"/>
        </w:rPr>
        <w:t>X</w:t>
      </w:r>
      <w:r>
        <w:t>、部队拆迁，及处理开工手续，</w:t>
      </w:r>
      <w:r>
        <w:rPr>
          <w:rFonts w:hint="eastAsia"/>
          <w:lang w:eastAsia="zh-CN"/>
        </w:rPr>
        <w:t>X</w:t>
      </w:r>
      <w:r>
        <w:t>-</w:t>
      </w:r>
      <w:r>
        <w:rPr>
          <w:rFonts w:hint="eastAsia"/>
          <w:lang w:eastAsia="zh-CN"/>
        </w:rPr>
        <w:t>X</w:t>
      </w:r>
      <w:r>
        <w:t>个月。</w:t>
      </w:r>
    </w:p>
    <w:p>
      <w:pPr>
        <w:pStyle w:val="6"/>
        <w:bidi w:val="0"/>
      </w:pPr>
      <w:r>
        <w:t>　　</w:t>
      </w:r>
      <w:r>
        <w:rPr>
          <w:rFonts w:hint="eastAsia"/>
          <w:lang w:eastAsia="zh-CN"/>
        </w:rPr>
        <w:t>X</w:t>
      </w:r>
      <w:r>
        <w:t>、正式开工前，给部队交</w:t>
      </w:r>
      <w:r>
        <w:rPr>
          <w:rFonts w:hint="eastAsia"/>
          <w:lang w:eastAsia="zh-CN"/>
        </w:rPr>
        <w:t>XXXX</w:t>
      </w:r>
      <w:r>
        <w:t>万开发保证金，即开端开发运营。</w:t>
      </w:r>
    </w:p>
    <w:p>
      <w:pPr>
        <w:pStyle w:val="6"/>
        <w:bidi w:val="0"/>
      </w:pPr>
      <w:r>
        <w:t>　　</w:t>
      </w:r>
      <w:r>
        <w:rPr>
          <w:rFonts w:hint="eastAsia"/>
          <w:lang w:eastAsia="zh-CN"/>
        </w:rPr>
        <w:t>X</w:t>
      </w:r>
      <w:r>
        <w:t>、前期总出资</w:t>
      </w:r>
      <w:r>
        <w:rPr>
          <w:rFonts w:hint="eastAsia"/>
          <w:lang w:eastAsia="zh-CN"/>
        </w:rPr>
        <w:t>XXXX</w:t>
      </w:r>
      <w:r>
        <w:t>万以内。</w:t>
      </w:r>
    </w:p>
    <w:p>
      <w:pPr>
        <w:pStyle w:val="6"/>
        <w:bidi w:val="0"/>
      </w:pPr>
      <w:r>
        <w:t>　　第二种形式：担保入股形式</w:t>
      </w:r>
    </w:p>
    <w:p>
      <w:pPr>
        <w:pStyle w:val="6"/>
        <w:bidi w:val="0"/>
      </w:pPr>
      <w:r>
        <w:t>　　</w:t>
      </w:r>
      <w:r>
        <w:rPr>
          <w:rFonts w:hint="eastAsia"/>
          <w:lang w:eastAsia="zh-CN"/>
        </w:rPr>
        <w:t>X</w:t>
      </w:r>
      <w:r>
        <w:t>、出资人敢</w:t>
      </w:r>
      <w:r>
        <w:rPr>
          <w:rFonts w:hint="eastAsia"/>
          <w:lang w:eastAsia="zh-CN"/>
        </w:rPr>
        <w:t>XXXX</w:t>
      </w:r>
      <w:r>
        <w:t>年</w:t>
      </w:r>
      <w:r>
        <w:rPr>
          <w:rFonts w:hint="eastAsia"/>
          <w:lang w:eastAsia="zh-CN"/>
        </w:rPr>
        <w:t>XX</w:t>
      </w:r>
      <w:r>
        <w:t>月</w:t>
      </w:r>
      <w:r>
        <w:rPr>
          <w:rFonts w:hint="eastAsia"/>
          <w:lang w:eastAsia="zh-CN"/>
        </w:rPr>
        <w:t>XX</w:t>
      </w:r>
      <w:r>
        <w:t>日前，部队查核相关开发手续及批文，签定协作协议，双控账号注资</w:t>
      </w:r>
      <w:r>
        <w:rPr>
          <w:rFonts w:hint="eastAsia"/>
          <w:lang w:eastAsia="zh-CN"/>
        </w:rPr>
        <w:t>XXXX</w:t>
      </w:r>
      <w:r>
        <w:t>万元;</w:t>
      </w:r>
    </w:p>
    <w:p>
      <w:pPr>
        <w:pStyle w:val="6"/>
        <w:bidi w:val="0"/>
      </w:pPr>
      <w:r>
        <w:t>　　</w:t>
      </w:r>
      <w:r>
        <w:rPr>
          <w:rFonts w:hint="eastAsia"/>
          <w:lang w:eastAsia="zh-CN"/>
        </w:rPr>
        <w:t>X</w:t>
      </w:r>
      <w:r>
        <w:t>、协议签定</w:t>
      </w:r>
      <w:r>
        <w:rPr>
          <w:rFonts w:hint="eastAsia"/>
          <w:lang w:eastAsia="zh-CN"/>
        </w:rPr>
        <w:t>X</w:t>
      </w:r>
      <w:r>
        <w:t>-</w:t>
      </w:r>
      <w:r>
        <w:rPr>
          <w:rFonts w:hint="eastAsia"/>
          <w:lang w:eastAsia="zh-CN"/>
        </w:rPr>
        <w:t>X</w:t>
      </w:r>
      <w:r>
        <w:t>个月，出资人可才抽出资金，并占项目</w:t>
      </w:r>
      <w:r>
        <w:rPr>
          <w:rFonts w:hint="eastAsia"/>
          <w:lang w:eastAsia="zh-CN"/>
        </w:rPr>
        <w:t>X</w:t>
      </w:r>
      <w:r>
        <w:t>%股份，一起在资金双控期间，由实践开发人依照银行同期利息给予利息补偿。</w:t>
      </w:r>
    </w:p>
    <w:p>
      <w:pPr>
        <w:pStyle w:val="6"/>
        <w:bidi w:val="0"/>
      </w:pP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465A7E"/>
    <w:rsid w:val="31B66E78"/>
    <w:rsid w:val="55465A7E"/>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2021-06-24T20:09:00Z</dcterms:created>
  <dc:creator>Gnepre</dc:creator>
  <cp:lastModifiedBy>Gnepre</cp:lastModifiedBy>
  <dcterms:modified xsi:type="dcterms:W3CDTF">2021-06-24T20:10:53Z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