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餐饮财务制度</w:t>
      </w:r>
    </w:p>
    <w:p>
      <w:pPr>
        <w:pStyle w:val="5"/>
        <w:bidi w:val="0"/>
        <w:jc w:val="left"/>
      </w:pPr>
      <w:r>
        <w:t>　　企业的财务行为，应遵守国家的法律、法规和本制度，并接受财政机关的检查和监督。</w:t>
      </w:r>
    </w:p>
    <w:p>
      <w:pPr>
        <w:pStyle w:val="5"/>
        <w:bidi w:val="0"/>
        <w:jc w:val="left"/>
      </w:pPr>
      <w:r>
        <w:t>　　资金筹集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1、</w:t>
      </w:r>
      <w:r>
        <w:t>资本金按照投资主体的不同，分为国家资本金、法人资本金、个人资本金以及外商资本金等。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2、</w:t>
      </w:r>
      <w:r>
        <w:t>企业可以根据国家法律、法规的规定，采取吸收国家投资、各方集资或者发行股票等方式筹集资本金。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3、</w:t>
      </w:r>
      <w:r>
        <w:t>企业筹集资本金应当符合下列要求：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企业资本金可以一次或者分期筹集。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t>企业以无形资产作为投资的，其所占比例不得超过企业注册资金的</w:t>
      </w:r>
      <w:r>
        <w:rPr>
          <w:rFonts w:hint="eastAsia"/>
          <w:lang w:val="en-US" w:eastAsia="zh-CN"/>
        </w:rPr>
        <w:t>xx</w:t>
      </w:r>
      <w:r>
        <w:t>%;因情况特殊，需要超过</w:t>
      </w:r>
      <w:r>
        <w:rPr>
          <w:rFonts w:hint="eastAsia"/>
          <w:lang w:val="en-US" w:eastAsia="zh-CN"/>
        </w:rPr>
        <w:t>xx</w:t>
      </w:r>
      <w:r>
        <w:t>%的，应当经工商行政管理机关审查批准，但是最高不超过</w:t>
      </w:r>
      <w:r>
        <w:rPr>
          <w:rFonts w:hint="eastAsia"/>
          <w:lang w:val="en-US" w:eastAsia="zh-CN"/>
        </w:rPr>
        <w:t>xx</w:t>
      </w:r>
      <w:r>
        <w:t>%。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4、</w:t>
      </w:r>
      <w:r>
        <w:t>企业的投资各方必须及时足额地缴纳资本金。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5、</w:t>
      </w:r>
      <w:r>
        <w:t>企业筹集的资本金必须经中国注册会计师验资并出具证明，企业据以发给投资者出资证明书。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6、</w:t>
      </w:r>
      <w:r>
        <w:t>企业筹集的资本金，企业依法享有经营权，在生产经营期间，投资者除依法转让外，不得以任何方式抽走。</w:t>
      </w:r>
    </w:p>
    <w:p>
      <w:pPr>
        <w:pStyle w:val="5"/>
        <w:bidi w:val="0"/>
        <w:jc w:val="left"/>
      </w:pPr>
      <w:r>
        <w:t>　　投资者按照出资比例或者合同、章程、协议的约定分享企业利润，分担企业风险和亏损。法律另有规定的，从其规定。</w:t>
      </w:r>
    </w:p>
    <w:p>
      <w:pPr>
        <w:pStyle w:val="5"/>
        <w:bidi w:val="0"/>
        <w:jc w:val="left"/>
      </w:pPr>
      <w:r>
        <w:t>　　企业负债分为流动负债和长期负债。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1、</w:t>
      </w:r>
      <w:r>
        <w:t>流动负债包括短期借款、结算中形成的应付及预收款、应付票据、应缴税金、应付利润、应付股利和其他应付款、应付短期债券、已计入成本尚未支付的预提费用、已提取尚未支付的职工福利费。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2、</w:t>
      </w:r>
      <w:r>
        <w:t>长期负债包括长期借款、应付长期债券、融资租入固定资产应付款等。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3、</w:t>
      </w:r>
      <w:r>
        <w:t>长期借款、融资租入固定资产应付款，按照实际发生额计价。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4、</w:t>
      </w:r>
      <w:r>
        <w:t>企业因债权人特殊原因而确实无法支付的应付款，计入营业外收入。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5、</w:t>
      </w:r>
      <w:r>
        <w:t>企业长期负债的应计利息支出，筹建期间的计入开办费用;经营期间的，计入财务费用;清算期间的，计入清算损益。</w:t>
      </w:r>
    </w:p>
    <w:p>
      <w:pPr>
        <w:pStyle w:val="5"/>
        <w:bidi w:val="0"/>
        <w:jc w:val="left"/>
      </w:pPr>
      <w:r>
        <w:t>　　企业流动负债的应计利息支出，计入财务费用。</w:t>
      </w:r>
    </w:p>
    <w:p>
      <w:pPr>
        <w:pStyle w:val="5"/>
        <w:bidi w:val="0"/>
        <w:jc w:val="left"/>
      </w:pPr>
      <w:r>
        <w:t>　　流动资产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1、</w:t>
      </w:r>
      <w:r>
        <w:t>流动资产包括现金、银行存款、应收及预付款、存货等。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2、</w:t>
      </w:r>
      <w:r>
        <w:t>企业应按国家有关规定管理荆用现金和银行存款。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3、</w:t>
      </w:r>
      <w:r>
        <w:t>应收及预付款包括：应收票据、应收帐款、其他应收款、预付款和待摊费用。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4、</w:t>
      </w:r>
      <w:r>
        <w:t>应收及预付款、待摊费用按实际发生额计价;应收票据按面值计价，其贴现利息计入财务费用。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5、</w:t>
      </w:r>
      <w:r>
        <w:t>企业发生坏帐损失，冲减坏帐准备金。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53CDE"/>
    <w:rsid w:val="5DD53CDE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2021-11-17T10:12:00Z</dcterms:created>
  <dc:creator>南京星智万合网络科技有限公司</dc:creator>
  <cp:lastModifiedBy>南京星智万合网络科技有限公司</cp:lastModifiedBy>
  <dcterms:modified xsi:type="dcterms:W3CDTF">2021-11-17T11:33:27Z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